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ind w:right="-17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ANEXO III</w:t>
      </w:r>
    </w:p>
    <w:p>
      <w:pPr>
        <w:pStyle w:val="Normal1"/>
        <w:ind w:right="-17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1"/>
        <w:ind w:right="-17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MODELO TERMO DE CONTRATO</w:t>
      </w:r>
    </w:p>
    <w:p>
      <w:pPr>
        <w:pStyle w:val="Normal1"/>
        <w:ind w:right="-17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1"/>
        <w:ind w:right="-17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COMPRA</w:t>
      </w:r>
    </w:p>
    <w:p>
      <w:pPr>
        <w:pStyle w:val="Normal1"/>
        <w:spacing w:lineRule="auto" w:line="276"/>
        <w:ind w:right="-17" w:hanging="0"/>
        <w:jc w:val="center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1"/>
        <w:spacing w:lineRule="auto" w:line="276"/>
        <w:ind w:left="3969" w:right="-17" w:hanging="0"/>
        <w:jc w:val="both"/>
        <w:rPr>
          <w:rFonts w:ascii="Arial" w:hAnsi="Arial" w:eastAsia="Arial" w:cs="Arial"/>
          <w:b/>
          <w:b/>
          <w:color w:val="FF0000"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TERMO DE CONTRATO DE COMPRA Nº </w:t>
      </w:r>
      <w:r>
        <w:rPr>
          <w:rFonts w:eastAsia="Arial" w:cs="Arial" w:ascii="Arial" w:hAnsi="Arial"/>
          <w:b/>
          <w:color w:val="FF0000"/>
          <w:sz w:val="20"/>
          <w:szCs w:val="20"/>
        </w:rPr>
        <w:t>......../....</w:t>
      </w:r>
      <w:r>
        <w:rPr>
          <w:rFonts w:eastAsia="Arial" w:cs="Arial" w:ascii="Arial" w:hAnsi="Arial"/>
          <w:b/>
          <w:sz w:val="20"/>
          <w:szCs w:val="20"/>
        </w:rPr>
        <w:t>, QUE FAZEM ENTRE SI O(A).</w:t>
      </w:r>
      <w:r>
        <w:rPr>
          <w:rFonts w:eastAsia="Arial" w:cs="Arial" w:ascii="Arial" w:hAnsi="Arial"/>
          <w:b/>
          <w:color w:val="FF0000"/>
          <w:sz w:val="20"/>
          <w:szCs w:val="20"/>
        </w:rPr>
        <w:t>.........................................................</w:t>
      </w:r>
      <w:r>
        <w:rPr>
          <w:rFonts w:eastAsia="Arial" w:cs="Arial" w:ascii="Arial" w:hAnsi="Arial"/>
          <w:b/>
          <w:sz w:val="20"/>
          <w:szCs w:val="20"/>
        </w:rPr>
        <w:t xml:space="preserve"> E A EMPRESA </w:t>
      </w:r>
      <w:r>
        <w:rPr>
          <w:rFonts w:eastAsia="Arial" w:cs="Arial" w:ascii="Arial" w:hAnsi="Arial"/>
          <w:b/>
          <w:color w:val="FF0000"/>
          <w:sz w:val="20"/>
          <w:szCs w:val="20"/>
        </w:rPr>
        <w:t xml:space="preserve">.............................................................  </w:t>
      </w:r>
    </w:p>
    <w:p>
      <w:pPr>
        <w:pStyle w:val="Normal1"/>
        <w:spacing w:lineRule="auto" w:line="360" w:before="0" w:after="120"/>
        <w:ind w:right="-15" w:hanging="0"/>
        <w:jc w:val="both"/>
        <w:rPr>
          <w:rFonts w:ascii="Arial" w:hAnsi="Arial" w:eastAsia="Arial" w:cs="Arial"/>
          <w:b/>
          <w:b/>
          <w:color w:val="FF0000"/>
          <w:sz w:val="20"/>
          <w:szCs w:val="20"/>
        </w:rPr>
      </w:pPr>
      <w:r>
        <w:rPr>
          <w:rFonts w:eastAsia="Arial" w:cs="Arial" w:ascii="Arial" w:hAnsi="Arial"/>
          <w:b/>
          <w:color w:val="FF0000"/>
          <w:sz w:val="20"/>
          <w:szCs w:val="20"/>
        </w:rPr>
      </w:r>
    </w:p>
    <w:p>
      <w:pPr>
        <w:pStyle w:val="Normal1"/>
        <w:spacing w:lineRule="auto" w:line="360" w:before="0" w:after="120"/>
        <w:ind w:right="-15" w:hanging="0"/>
        <w:jc w:val="both"/>
        <w:rPr>
          <w:rFonts w:ascii="Arial" w:hAnsi="Arial" w:eastAsia="Arial" w:cs="Arial"/>
          <w:b/>
          <w:b/>
          <w:color w:val="FF0000"/>
          <w:sz w:val="20"/>
          <w:szCs w:val="20"/>
        </w:rPr>
      </w:pPr>
      <w:r>
        <w:rPr>
          <w:rFonts w:eastAsia="Arial" w:cs="Arial" w:ascii="Arial" w:hAnsi="Arial"/>
          <w:b/>
          <w:color w:val="FF0000"/>
          <w:sz w:val="20"/>
          <w:szCs w:val="20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280" w:after="280"/>
        <w:ind w:left="0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A União / Autarquia ....... / Fundação ......., (utilizar a menção à União somente se for órgão da Administração Direta, caso contrário incluir o nome da autarquia ou fundação conforme o caso) por intermédio do(a) .................................... (órgão) contratante),  com sede no(a)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na cidade 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/Estado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inscrito(a) no CNPJ sob o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neste ato representado(a) pelo(a)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(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cargo e nome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), nomeado(a) pela Portaria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de 20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, publicada no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DOU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portador da matrícula funcional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,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doravante denominada CONTRATANTE, e o(a)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inscrito(a) no CNPJ/MF sob o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sediado(a) na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em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doravante designada CONTRATADA, neste ato representada pelo(a) Sr.(a)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portador(a) da Carteira de Identidade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expedida pela (o)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e CPF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tendo em vista o que consta no Processo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..............................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e em observância às disposições da Lei nº 8.666, de 21 de junho de 1993, da Lei nº 10.520, de 17 de julho de 2002 e na Lei nº 8.078, de 1990 - Código de Defesa do Consumidor,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do Decreto nº 7.892, de 23 de janeiro de 2013,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resolvem celebrar o presente Termo de Contrato, decorrente do Pregão nº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/20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por Sistema de Registro de Preços nº  ....../20..., 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mediante as cláusulas e condições a seguir enunciadas.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PRIMEIRA – OBJETO</w:t>
      </w:r>
    </w:p>
    <w:p>
      <w:pPr>
        <w:pStyle w:val="Normal1"/>
        <w:keepNext w:val="true"/>
        <w:keepLines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O objeto do presente Termo de Contrato é a aquisição de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.........................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, conforme especificações e quantitativos estabelecidos no Termo de Referência, anexo do Edital. </w:t>
      </w:r>
    </w:p>
    <w:p>
      <w:pPr>
        <w:pStyle w:val="Normal1"/>
        <w:keepNext w:val="true"/>
        <w:keepLines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Este Termo de Contrato vincula-se ao Edital do Pregão, identificado no preâmbulo e à proposta vencedora, independentemente de transcrição.</w:t>
      </w:r>
    </w:p>
    <w:p>
      <w:pPr>
        <w:pStyle w:val="Normal1"/>
        <w:spacing w:lineRule="auto" w:line="276" w:before="120" w:after="120"/>
        <w:ind w:left="425" w:hanging="0"/>
        <w:jc w:val="both"/>
        <w:rPr>
          <w:rFonts w:ascii="Arial" w:hAnsi="Arial" w:eastAsia="Arial" w:cs="Arial"/>
          <w:b/>
          <w:b/>
          <w:strike/>
          <w:color w:val="000000"/>
          <w:sz w:val="20"/>
          <w:szCs w:val="20"/>
        </w:rPr>
      </w:pPr>
      <w:r>
        <w:rPr>
          <w:rFonts w:eastAsia="Arial" w:cs="Arial" w:ascii="Arial" w:hAnsi="Arial"/>
          <w:b/>
          <w:strike/>
          <w:color w:val="000000"/>
          <w:sz w:val="20"/>
          <w:szCs w:val="20"/>
        </w:rPr>
      </w:r>
    </w:p>
    <w:p>
      <w:pPr>
        <w:pStyle w:val="Normal1"/>
        <w:keepNext w:val="true"/>
        <w:keepLines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Discriminação do objeto:</w:t>
      </w:r>
    </w:p>
    <w:tbl>
      <w:tblPr>
        <w:tblStyle w:val="Table1"/>
        <w:tblW w:w="929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083"/>
        <w:gridCol w:w="2061"/>
        <w:gridCol w:w="1816"/>
        <w:gridCol w:w="1416"/>
        <w:gridCol w:w="1587"/>
        <w:gridCol w:w="1329"/>
      </w:tblGrid>
      <w:tr>
        <w:trPr>
          <w:trHeight w:val="693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ITEM</w:t>
            </w:r>
          </w:p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DESCRIÇÃO/</w:t>
            </w:r>
          </w:p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VALOR</w:t>
            </w:r>
          </w:p>
        </w:tc>
      </w:tr>
      <w:tr>
        <w:trPr>
          <w:trHeight w:val="354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339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339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</w:tr>
      <w:tr>
        <w:trPr>
          <w:trHeight w:val="354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jc w:val="center"/>
              <w:rPr>
                <w:rFonts w:ascii="Arial" w:hAnsi="Arial" w:eastAsia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76" w:before="0" w:after="120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color w:val="000000"/>
                <w:sz w:val="20"/>
                <w:szCs w:val="20"/>
              </w:rPr>
            </w:r>
          </w:p>
        </w:tc>
      </w:tr>
    </w:tbl>
    <w:p>
      <w:pPr>
        <w:pStyle w:val="Normal1"/>
        <w:spacing w:lineRule="auto" w:line="360" w:before="0" w:after="120"/>
        <w:ind w:left="284" w:right="-15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SEGUNDA – VIGÊNCIA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O prazo de vigência deste Termo de Contrato é aquele fixado no Termo de Referência, com início na data de </w:t>
      </w:r>
      <w:r>
        <w:rPr>
          <w:rFonts w:eastAsia="Arial" w:cs="Arial" w:ascii="Arial" w:hAnsi="Arial"/>
          <w:color w:val="FF0000"/>
          <w:sz w:val="20"/>
          <w:szCs w:val="20"/>
        </w:rPr>
        <w:t>____/____/______</w:t>
      </w:r>
      <w:r>
        <w:rPr>
          <w:rFonts w:eastAsia="Arial" w:cs="Arial" w:ascii="Arial" w:hAnsi="Arial"/>
          <w:sz w:val="20"/>
          <w:szCs w:val="20"/>
        </w:rPr>
        <w:t xml:space="preserve"> e encerramento em </w:t>
      </w:r>
      <w:r>
        <w:rPr>
          <w:rFonts w:eastAsia="Arial" w:cs="Arial" w:ascii="Arial" w:hAnsi="Arial"/>
          <w:color w:val="FF0000"/>
          <w:sz w:val="20"/>
          <w:szCs w:val="20"/>
        </w:rPr>
        <w:t>____/____/______</w:t>
      </w:r>
      <w:r>
        <w:rPr>
          <w:rFonts w:eastAsia="Arial" w:cs="Arial" w:ascii="Arial" w:hAnsi="Arial"/>
          <w:sz w:val="20"/>
          <w:szCs w:val="20"/>
        </w:rPr>
        <w:t>, prorrogável na forma do art. 57, §1º, da Lei nº 8.666, de 1993.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TERCEIRA – PREÇO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b/>
          <w:b/>
          <w:color w:val="000000"/>
          <w:sz w:val="20"/>
          <w:szCs w:val="20"/>
        </w:rPr>
      </w:pPr>
      <w:r>
        <w:rPr>
          <w:rFonts w:eastAsia="Arial" w:cs="Arial" w:ascii="Arial" w:hAnsi="Arial"/>
          <w:color w:val="000000"/>
          <w:sz w:val="20"/>
          <w:szCs w:val="20"/>
        </w:rPr>
        <w:t xml:space="preserve">O valor do presente Termo de Contrato é de R$ </w:t>
      </w:r>
      <w:r>
        <w:rPr>
          <w:rFonts w:eastAsia="Arial" w:cs="Arial" w:ascii="Arial" w:hAnsi="Arial"/>
          <w:color w:val="FF0000"/>
          <w:sz w:val="20"/>
          <w:szCs w:val="20"/>
        </w:rPr>
        <w:t>............</w:t>
      </w:r>
      <w:r>
        <w:rPr>
          <w:rFonts w:eastAsia="Arial" w:cs="Arial" w:ascii="Arial" w:hAnsi="Arial"/>
          <w:color w:val="000000"/>
          <w:sz w:val="20"/>
          <w:szCs w:val="20"/>
        </w:rPr>
        <w:t xml:space="preserve"> (</w:t>
      </w:r>
      <w:r>
        <w:rPr>
          <w:rFonts w:eastAsia="Arial" w:cs="Arial" w:ascii="Arial" w:hAnsi="Arial"/>
          <w:color w:val="FF0000"/>
          <w:sz w:val="20"/>
          <w:szCs w:val="20"/>
        </w:rPr>
        <w:t>...............</w:t>
      </w:r>
      <w:r>
        <w:rPr>
          <w:rFonts w:eastAsia="Arial" w:cs="Arial" w:ascii="Arial" w:hAnsi="Arial"/>
          <w:color w:val="000000"/>
          <w:sz w:val="20"/>
          <w:szCs w:val="20"/>
        </w:rPr>
        <w:t>)</w:t>
      </w:r>
      <w:r>
        <w:rPr>
          <w:rFonts w:eastAsia="Arial" w:cs="Arial" w:ascii="Arial" w:hAnsi="Arial"/>
          <w:b/>
          <w:color w:val="000000"/>
          <w:sz w:val="20"/>
          <w:szCs w:val="20"/>
        </w:rPr>
        <w:t>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QUARTA – DOTAÇÃO ORÇAMENTÁRIA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r>
        <w:rPr>
          <w:rFonts w:eastAsia="Arial" w:cs="Arial" w:ascii="Arial" w:hAnsi="Arial"/>
          <w:i/>
          <w:color w:val="FF0000"/>
          <w:sz w:val="20"/>
          <w:szCs w:val="20"/>
        </w:rPr>
        <w:t>20</w:t>
      </w:r>
      <w:r>
        <w:rPr>
          <w:rFonts w:eastAsia="Arial" w:cs="Arial" w:ascii="Arial" w:hAnsi="Arial"/>
          <w:color w:val="FF0000"/>
          <w:sz w:val="20"/>
          <w:szCs w:val="20"/>
        </w:rPr>
        <w:t>....,</w:t>
      </w:r>
      <w:r>
        <w:rPr>
          <w:rFonts w:eastAsia="Arial" w:cs="Arial" w:ascii="Arial" w:hAnsi="Arial"/>
          <w:sz w:val="20"/>
          <w:szCs w:val="20"/>
        </w:rPr>
        <w:t xml:space="preserve"> na classificação abaixo:</w:t>
      </w:r>
    </w:p>
    <w:p>
      <w:pPr>
        <w:pStyle w:val="Normal1"/>
        <w:spacing w:lineRule="auto" w:line="276" w:before="120" w:after="120"/>
        <w:ind w:left="113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Gestão/Unidade:  </w:t>
      </w:r>
    </w:p>
    <w:p>
      <w:pPr>
        <w:pStyle w:val="Normal1"/>
        <w:spacing w:lineRule="auto" w:line="276" w:before="120" w:after="120"/>
        <w:ind w:left="113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Fonte: </w:t>
      </w:r>
    </w:p>
    <w:p>
      <w:pPr>
        <w:pStyle w:val="Normal1"/>
        <w:spacing w:lineRule="auto" w:line="276" w:before="120" w:after="120"/>
        <w:ind w:left="113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Programa de Trabalho:  </w:t>
      </w:r>
    </w:p>
    <w:p>
      <w:pPr>
        <w:pStyle w:val="Normal1"/>
        <w:spacing w:lineRule="auto" w:line="276" w:before="120" w:after="120"/>
        <w:ind w:left="113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Elemento de Despesa:  </w:t>
      </w:r>
    </w:p>
    <w:p>
      <w:pPr>
        <w:pStyle w:val="Normal1"/>
        <w:spacing w:lineRule="auto" w:line="276" w:before="120" w:after="120"/>
        <w:ind w:left="1134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PI: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QUINTA – PAGAMENTO</w:t>
      </w:r>
      <w:bookmarkStart w:id="0" w:name="bookmark=id.gjdgxs"/>
      <w:bookmarkEnd w:id="0"/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76" w:before="120" w:after="120"/>
        <w:ind w:left="425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 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emissão da Nota Fiscal/Fatura será precedida do recebimento definitivo do serviço, conforme este Termo de Referência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 pagamento será efetuado pela Contratante no prazo de 30 (trinta) dias, contados do recebimento da Nota Fiscal/Fatura.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Nota Fiscal ou Fatura deverá ser obrigatoriamente acompanhada da comprovação da regularidade fiscal, constatada por meio de consulta on-line ao SICAF ou, na impossibilidade de acesso ao referido Sistema, mediante consulta aos sítios eletrônicos oficiais ou à documentação mencionada no art. 29 da Lei nº 8.666, de 1993.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Constatando-se, junto ao SICAF, a situação de irregularidade do fornecedor contratado, deverão ser tomadas as providências previstas no art. 31 da Instrução Normativa nº 3, de 26 de abril de 2018.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 setor competente para proceder o pagamento deve verificar se a Nota Fiscal ou Fatura apresentada expressa os elementos necessários e essenciais do documento, tais como: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 prazo de validade;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data da emissão;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os dados do contrato e do órgão contratante;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0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 período de prestação dos serviços;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o valor a pagar; e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eventual destaque do valor de retenções tributárias cabíveis.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Havendo erro na apresentação da Nota Fiscal/Fatura, ou circunstância que impeça a liquidação da despesa, o pagamento ficará sobrestado até que a Contratada providencie as medidas saneadoras. Nesta hipótese, o prazo para pagamento iniciar-se-á após a comprovação da regularização da situação, não acarretando qualquer ônus para a Contratante;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Será considerada data do pagamento o dia em que constar como emitida a ordem bancária para pagamento.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Antes de cada pagamento à contratada, será realizada consulta ao SICAF para verificar a manutenção das condições de habilitação exigidas no edital.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Constatando-se, junto ao SICAF, a situação de irregularidade da contratada, será providenciada sua notificação, por escrito, para que, no prazo de 5 (cinco) dias úteis, regularize sua situação ou, no mesmo prazo, apresente sua defesa. O prazo poderá ser prorrogado uma vez, por igual período, a critério da contratante.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Previamente à emissão de nota de empenho e no pagamento, a Administração deverá realizar consulta ao SICAF para identificar possível suspensão temporária de participação em licitação, no âmbito do órgão ou entidade, proibição de contratar com o Poder Público, bem como ocorrências impeditivas indiretas, observado o disposto no art. 29, da Instrução Normativa nº 3, de 26 de abril de 2018.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 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Persistindo a irregularidade, a contratante deverá adotar as medidas necessárias à rescisão contratual nos autos do processo administrativo correspondente, assegurada à contratada a ampla defesa.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Havendo a efetiva execução do objeto, os pagamentos serão realizados normalmente, até que se decida pela rescisão do contrato, caso a contratada não regularize sua situação junto ao SICAF. 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Será rescindido o contrato em execução com a contratada inadimplente no SICAF, salvo por motivo de economicidade, segurança nacional ou outro de interesse público de alta relevância, devidamente justificado, em qualquer caso, pela máxima autoridade da contratante.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Quando do pagamento, será efetuada a retenção tributária prevista na legislação aplicável, em especial a prevista no artigo 31 da Lei 8.212, de 1993, nos termos do item 6 do Anexo XI da IN SEGES/MP n. 5/2017, quando couber.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É vedado o pagamento, a qualquer título, por serviços prestados, à empresa privada que tenha em seu quadro societário servidor público da ativa do órgão contratante, com fundamento na Lei de Diretrizes Orçamentárias vigente.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Nos casos de eventuais atrasos de pagamento, desde que a Contratada não tenha concorrido, de alguma forma, para tanto, o valor devido deverá ser acrescido de atualização financeira, e sua apuração se fará desde a data de seu vencimento até a data do efetivo pagamento, em que os juros de mora serão calculados à taxa de 0,5% (meio por cento) ao mês, ou 6% (seis por cento) ao ano, mediante aplicação das seguintes fórmulas: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88" w:before="0" w:after="120"/>
        <w:ind w:left="456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EM = I x N x VP, sendo: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88" w:before="0" w:after="120"/>
        <w:ind w:left="456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EM = Encargos moratórios;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88" w:before="0" w:after="120"/>
        <w:ind w:left="456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 = Número de dias entre a data prevista para o pagamento e a do efetivo pagamento;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88" w:before="0" w:after="120"/>
        <w:ind w:left="456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VP = Valor da parcela a ser paga.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88" w:before="0" w:after="120"/>
        <w:ind w:left="456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 = Índice de compensação financeira = 0,00016438, assim apurado:</w:t>
      </w:r>
    </w:p>
    <w:p>
      <w:pPr>
        <w:pStyle w:val="Normal1"/>
        <w:tabs>
          <w:tab w:val="clear" w:pos="720"/>
          <w:tab w:val="left" w:pos="1701" w:leader="none"/>
        </w:tabs>
        <w:spacing w:lineRule="auto" w:line="240" w:before="0" w:after="12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tbl>
      <w:tblPr>
        <w:tblStyle w:val="Table2"/>
        <w:tblW w:w="8645" w:type="dxa"/>
        <w:jc w:val="left"/>
        <w:tblInd w:w="425" w:type="dxa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2149"/>
        <w:gridCol w:w="577"/>
        <w:gridCol w:w="1413"/>
        <w:gridCol w:w="4505"/>
      </w:tblGrid>
      <w:tr>
        <w:trPr/>
        <w:tc>
          <w:tcPr>
            <w:tcW w:w="2149" w:type="dxa"/>
            <w:tcBorders/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1701" w:leader="none"/>
              </w:tabs>
              <w:spacing w:lineRule="auto" w:line="240" w:before="0" w:after="120"/>
              <w:jc w:val="both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I = (TX)</w:t>
            </w:r>
          </w:p>
        </w:tc>
        <w:tc>
          <w:tcPr>
            <w:tcW w:w="577" w:type="dxa"/>
            <w:tcBorders/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1701" w:leader="none"/>
              </w:tabs>
              <w:spacing w:lineRule="auto" w:line="240" w:before="0" w:after="120"/>
              <w:jc w:val="both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 xml:space="preserve">I = </w:t>
            </w:r>
          </w:p>
        </w:tc>
        <w:tc>
          <w:tcPr>
            <w:tcW w:w="1413" w:type="dxa"/>
            <w:tcBorders>
              <w:bottom w:val="single" w:sz="4" w:space="0" w:color="000001"/>
            </w:tcBorders>
            <w:shd w:fill="auto" w:val="clear"/>
          </w:tcPr>
          <w:p>
            <w:pPr>
              <w:pStyle w:val="Normal1"/>
              <w:tabs>
                <w:tab w:val="clear" w:pos="720"/>
                <w:tab w:val="left" w:pos="1701" w:leader="none"/>
              </w:tabs>
              <w:spacing w:lineRule="auto" w:line="240" w:before="0" w:after="120"/>
              <w:jc w:val="both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( 6 /100 )</w:t>
            </w:r>
          </w:p>
        </w:tc>
        <w:tc>
          <w:tcPr>
            <w:tcW w:w="4505" w:type="dxa"/>
            <w:tcBorders/>
            <w:shd w:fill="auto" w:val="clear"/>
            <w:vAlign w:val="center"/>
          </w:tcPr>
          <w:p>
            <w:pPr>
              <w:pStyle w:val="Normal1"/>
              <w:tabs>
                <w:tab w:val="clear" w:pos="720"/>
                <w:tab w:val="left" w:pos="1701" w:leader="none"/>
              </w:tabs>
              <w:spacing w:lineRule="auto" w:line="240" w:before="0" w:after="120"/>
              <w:jc w:val="both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I = 0,00016438</w:t>
            </w:r>
          </w:p>
        </w:tc>
      </w:tr>
    </w:tbl>
    <w:p>
      <w:pPr>
        <w:pStyle w:val="Normal1"/>
        <w:spacing w:lineRule="auto" w:line="240" w:before="0" w:after="12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 xml:space="preserve">                                                            </w:t>
      </w:r>
      <w:r>
        <w:rPr>
          <w:rFonts w:eastAsia="Calibri" w:cs="Calibri" w:ascii="Calibri" w:hAnsi="Calibri"/>
        </w:rPr>
        <w:t>365</w:t>
        <w:tab/>
        <w:t xml:space="preserve">    TX = Percentual da taxa anual = 6%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88" w:before="0" w:after="120"/>
        <w:ind w:left="0" w:right="0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76" w:before="0" w:after="14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Ecofont_Spranq_eco_Sans" w:cs="Ecofont_Spranq_eco_Sans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br/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SEXTA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–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REAJUSTE 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As regras acerca do reajuste do valor contratual são as estabelecidas no Termo de Referência, anexo a este Contrato.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/>
          <w:i/>
          <w:caps w:val="false"/>
          <w:smallCaps w:val="false"/>
          <w:strike w:val="false"/>
          <w:dstrike w:val="false"/>
          <w:color w:val="FF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FF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SÉTIMA – GARANTIA DE EXECUÇÃO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color w:val="FF0000"/>
          <w:sz w:val="20"/>
          <w:szCs w:val="20"/>
        </w:rPr>
      </w:pPr>
      <w:r>
        <w:rPr>
          <w:rFonts w:eastAsia="Arial" w:cs="Arial" w:ascii="Arial" w:hAnsi="Arial"/>
          <w:color w:val="FF0000"/>
          <w:sz w:val="20"/>
          <w:szCs w:val="20"/>
        </w:rPr>
        <w:t>Não haverá exigência de garantia de execução para a presente contratação.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OITAVA - ENTREGA E RECEBIMENTO DO OBJETO</w:t>
      </w:r>
      <w:bookmarkStart w:id="1" w:name="bookmark=id.30j0zll"/>
      <w:bookmarkEnd w:id="1"/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76" w:before="120" w:after="120"/>
        <w:ind w:left="425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 emissão da Nota Fiscal/Fatura deve ser precedida do recebimento definitivo dos serviços, nos termos abaixo: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No prazo de até 5 dias corridos do adimplemento da parcela, a CONTRATADA deverá entregar toda a documentação comprobatória do cumprimento da obrigação contratual;  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O recebimento provisório será realizado pelo fiscal técnico e setorial ou pela equipe de fiscalização após a entrega da documentação acima, da seguinte forma: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 contratante realizará inspeção minuciosa de todos os serviços executados, por meio de profissionais técnicos competentes, acompanhados dos profissionais encarregados pelo serviço, com a finalidade de verificar a adequação dos serviços e constatar e relacionar os arremates, retoques e revisões finais que se fizerem necessários.</w:t>
      </w:r>
    </w:p>
    <w:p>
      <w:pPr>
        <w:pStyle w:val="Normal1"/>
        <w:keepNext w:val="false"/>
        <w:keepLines w:val="false"/>
        <w:pageBreakBefore w:val="false"/>
        <w:widowControl/>
        <w:numPr>
          <w:ilvl w:val="3"/>
          <w:numId w:val="1"/>
        </w:numPr>
        <w:pBdr/>
        <w:shd w:val="clear" w:fill="auto"/>
        <w:spacing w:lineRule="auto" w:line="288" w:before="0" w:after="120"/>
        <w:ind w:left="851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Para efeito de recebimento provisório, após entrega e instalação dos bens, o fiscal técnico do contrato irá apurar o resultado das avaliações da execução do objeto e, se for o caso, a análise do desempenho e qualidade da prestação dos serviços realizados em consonância com os indicadores previstos, que poderá resultar no redimensionamento de valores a serem pagos à contratada, registrando em relatório a ser encaminhado ao gestor do contrato</w:t>
      </w:r>
    </w:p>
    <w:p>
      <w:pPr>
        <w:pStyle w:val="Normal1"/>
        <w:keepNext w:val="false"/>
        <w:keepLines w:val="false"/>
        <w:pageBreakBefore w:val="false"/>
        <w:widowControl/>
        <w:numPr>
          <w:ilvl w:val="3"/>
          <w:numId w:val="1"/>
        </w:numPr>
        <w:pBdr/>
        <w:shd w:val="clear" w:fill="auto"/>
        <w:spacing w:lineRule="auto" w:line="288" w:before="0" w:after="120"/>
        <w:ind w:left="851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 Contratada fica obrigada a reparar, corrigir, remover, reconstruir ou substituir, às suas expensas, no todo ou em parte, o objeto em que se verificarem vícios, defeitos ou incorreções resultantes da execução ou materiais empregados, cabendo à fiscalização não atestar a única medição de serviços até que sejam sanadas todas as eventuais pendências que possam vir a ser apontadas no Recebimento Provisório.</w:t>
      </w:r>
    </w:p>
    <w:p>
      <w:pPr>
        <w:pStyle w:val="Normal1"/>
        <w:keepNext w:val="false"/>
        <w:keepLines w:val="false"/>
        <w:pageBreakBefore w:val="false"/>
        <w:widowControl/>
        <w:numPr>
          <w:ilvl w:val="3"/>
          <w:numId w:val="1"/>
        </w:numPr>
        <w:pBdr/>
        <w:shd w:val="clear" w:fill="auto"/>
        <w:spacing w:lineRule="auto" w:line="288" w:before="0" w:after="120"/>
        <w:ind w:left="851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O recebimento provisório também ficará sujeito, quando cabível, à conclusão de todos os testes de campo e à entrega dos Manuais e Instruções exigíveis.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No prazo de até 10 dias corridos a partir do recebimento dos documentos da CONTRATADA, cada fiscal ou a equipe de fiscalização deverá elaborar Relatório Circunstanciado em consonância com suas atribuições, e encaminhá-lo ao gestor do contrato. </w:t>
      </w:r>
    </w:p>
    <w:p>
      <w:pPr>
        <w:pStyle w:val="Normal1"/>
        <w:keepNext w:val="false"/>
        <w:keepLines w:val="false"/>
        <w:pageBreakBefore w:val="false"/>
        <w:widowControl/>
        <w:numPr>
          <w:ilvl w:val="3"/>
          <w:numId w:val="1"/>
        </w:numPr>
        <w:pBdr/>
        <w:shd w:val="clear" w:fill="auto"/>
        <w:spacing w:lineRule="auto" w:line="288" w:before="0" w:after="120"/>
        <w:ind w:left="851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quando a fiscalização for exercida por um único servidor, o relatório circunstanciado deverá conter o registro, a análise e a conclusão acerca das ocorrências na execução do contrato, em relação à fiscalização técnica e administrativa e demais documentos que julgar necessários, devendo encaminhá-los ao gestor do contrato para recebimento definitivo.</w:t>
      </w:r>
    </w:p>
    <w:p>
      <w:pPr>
        <w:pStyle w:val="Normal1"/>
        <w:keepNext w:val="false"/>
        <w:keepLines w:val="false"/>
        <w:pageBreakBefore w:val="false"/>
        <w:widowControl/>
        <w:numPr>
          <w:ilvl w:val="3"/>
          <w:numId w:val="1"/>
        </w:numPr>
        <w:pBdr/>
        <w:shd w:val="clear" w:fill="auto"/>
        <w:spacing w:lineRule="auto" w:line="288" w:before="0" w:after="120"/>
        <w:ind w:left="851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Será considerado como ocorrido o recebimento provisório com a entrega do relatório circunstanciado ou, em havendo mais de um a ser feito, com a entrega do último. </w:t>
      </w:r>
    </w:p>
    <w:p>
      <w:pPr>
        <w:pStyle w:val="Normal1"/>
        <w:keepNext w:val="false"/>
        <w:keepLines w:val="false"/>
        <w:pageBreakBefore w:val="false"/>
        <w:widowControl/>
        <w:numPr>
          <w:ilvl w:val="3"/>
          <w:numId w:val="1"/>
        </w:numPr>
        <w:pBdr/>
        <w:shd w:val="clear" w:fill="auto"/>
        <w:spacing w:lineRule="auto" w:line="288" w:before="0" w:after="120"/>
        <w:ind w:left="851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Na hipótese de a verificação a que se refere o parágrafo anterior não ser procedida tempestivamente, reputar-se-á como realizada, consumando-se o recebimento provisório no dia do esgotamento do prazo.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No prazo de até 10 (dez) dias corridos a partir do recebimento provisório dos serviços, o Gestor do Contrato deverá providenciar o recebimento definitivo, ato que concretiza o ateste da execução dos serviços, obedecendo às seguintes diretrizes: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Realizar a análise dos relatórios e de toda a documentação apresentada pela fiscalização e, caso haja irregularidades que impeçam a liquidação e o pagamento da despesa, indicar as cláusulas contratuais pertinentes, solicitando à CONTRATADA, por escrito, as respectivas correções;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Ecofont_Spranq_eco_Sans" w:hAnsi="Ecofont_Spranq_eco_Sans" w:eastAsia="Ecofont_Spranq_eco_Sans" w:cs="Ecofont_Spranq_eco_Sans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Emitir Termo Circunstanciado (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ANEXO IV</w:t>
      </w: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) para efeito de recebimento definitivo dos serviços prestados, com base nos relatórios e documentações apresentadas; e 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1"/>
        </w:numPr>
        <w:pBdr/>
        <w:shd w:val="clear" w:fill="auto"/>
        <w:spacing w:lineRule="auto" w:line="288" w:before="0" w:after="120"/>
        <w:ind w:left="567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Comunicar à empresa para que emita a Nota Fiscal ou Fatura, com o valor exato dimensionado pela fiscalização.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O recebimento provisório ou definitivo do objeto não exclui a responsabilidade da Contratada pelos prejuízos resultantes da incorreta execução do contrato, ou, em qualquer época, das garantias concedidas e das responsabilidades assumidas em contrato e por força das disposições legais em vigor (Lei n° 10.406, de 2002).</w:t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88" w:before="0" w:after="120"/>
        <w:ind w:left="142" w:right="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Os serviços poderão ser rejeitados, no todo ou em parte, quando em desacordo com as especificações constantes neste Termo de Referência e na proposta, devendo ser corrigidos/refeitos/substituídos no prazo fixado pelo fiscal do contrato, às custas da Contratada, sem prejuízo da aplicação de penalidades.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CLAÚSULA NONA - FISCALIZAÇÃO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 fiscalização da execução do objeto será efetuada por Comissão/Representante designado pela CONTRATANTE, na forma estabelecida no Termo de Referência, anexo do Edital.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– OBRIGAÇÕES DA CONTRATANTE E DA CONTRATADA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As obrigações da CONTRATANTE e da CONTRATADA são aquelas previstas no Termo de Referência, anexo do Edital.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PRIMEIRA – SANÇÕES ADMINISTRATIVAS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Comete infração administrativa nos termos da Lei nº 10.520, de 2002, a CONTRATADA que: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a) falhar na execução do contrato, pela inexecução, total ou parcial, de quaisquer das obrigações assumidas na contratação;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b) ensejar o retardamento da execução do objeto;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c) fraudar na execução do contrato;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d) comportar-se de modo inidôneo; ou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e) cometer fraude fiscal.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Pela inexecução total ou parcial do objeto deste contrato, a Administração pode aplicar à CONTRATADA as seguintes sanções: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i) Advertência por escrito, quando do não cumprimento de quaisquer das obrigações contratuais consideradas faltas leves, assim entendidas aquelas que não acarretam prejuízos significativos para o serviço contratado;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 xml:space="preserve">ii) Multa de: </w:t>
      </w:r>
    </w:p>
    <w:p>
      <w:pPr>
        <w:pStyle w:val="Normal1"/>
        <w:spacing w:lineRule="auto" w:line="240" w:before="0" w:after="120"/>
        <w:ind w:left="158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 xml:space="preserve">(1) 0,1% (um décimo por cento) até 0,2% (dois décimos por cento) por dia sobre o valor adjudicado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>
      <w:pPr>
        <w:pStyle w:val="Normal1"/>
        <w:spacing w:lineRule="auto" w:line="240" w:before="0" w:after="120"/>
        <w:ind w:left="158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(2) 0,1% (um décimo por cento) até 10% (dez por cento) sobre o valor adjudicado, em caso de atraso na execução do objeto, por período superior ao previsto no subitem acima, ou de inexecução parcial da obrigação assumida;</w:t>
      </w:r>
    </w:p>
    <w:p>
      <w:pPr>
        <w:pStyle w:val="Normal1"/>
        <w:spacing w:lineRule="auto" w:line="240" w:before="0" w:after="120"/>
        <w:ind w:left="158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(3) 0,1% (um décimo por cento) até 15% (quinze por cento) sobre o valor adjudicado, em caso de inexecução total da obrigação assumida;</w:t>
      </w:r>
    </w:p>
    <w:p>
      <w:pPr>
        <w:pStyle w:val="Normal1"/>
        <w:spacing w:lineRule="auto" w:line="240" w:before="0" w:after="120"/>
        <w:ind w:left="158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(4) 0,2% a 3,2% por dia sobre o valor do contrato, conforme detalhamento constante das tabelas 1 e 2, abaixo; e</w:t>
      </w:r>
    </w:p>
    <w:p>
      <w:pPr>
        <w:pStyle w:val="Normal1"/>
        <w:spacing w:lineRule="auto" w:line="240" w:before="0" w:after="120"/>
        <w:ind w:left="158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(5) as penalidades de multa decorrentes de fatos diversos serão consideradas independentes entre si.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iii) Suspensão de licitar e impedimento de contratar com o órgão, entidade ou unidade administrativa pela qual a Administração Pública opera e atua concretamente, pelo prazo de até dois anos;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iv) Sanção de impedimento de licitar e contratar com órgãos e entidades da União, com o consequente descredenciamento no SICAF pelo prazo de até cinco anos.</w:t>
      </w:r>
    </w:p>
    <w:p>
      <w:pPr>
        <w:pStyle w:val="Normal1"/>
        <w:spacing w:lineRule="auto" w:line="240" w:before="0" w:after="120"/>
        <w:ind w:left="862" w:hanging="0"/>
        <w:jc w:val="both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 xml:space="preserve">v) 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 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 sanção de impedimento de licitar e contratar prevista no subitem “iv” também é aplicável em quaisquer das hipóteses previstas como infração administrativa neste Termo de Referência.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As sanções previstas nos subitens “i”, “iii”, “iv” e “v” poderão ser aplicadas à CONTRATADA juntamente com as de multa, descontando-a dos pagamentos a serem efetuados.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Para efeito de aplicação de multas, às infrações são atribuídos graus, de acordo com as tabelas 1 e 2:</w:t>
      </w:r>
    </w:p>
    <w:p>
      <w:pPr>
        <w:pStyle w:val="Normal1"/>
        <w:spacing w:lineRule="auto" w:line="240" w:before="0" w:after="120"/>
        <w:ind w:left="142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Tabela 1</w:t>
      </w:r>
    </w:p>
    <w:p>
      <w:pPr>
        <w:pStyle w:val="Normal1"/>
        <w:spacing w:lineRule="auto" w:line="240" w:before="0" w:after="120"/>
        <w:ind w:left="142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tbl>
      <w:tblPr>
        <w:tblStyle w:val="Table3"/>
        <w:tblW w:w="8370" w:type="dxa"/>
        <w:jc w:val="center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234"/>
        <w:gridCol w:w="6135"/>
      </w:tblGrid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  <w:t>GRAU</w:t>
            </w:r>
          </w:p>
        </w:tc>
        <w:tc>
          <w:tcPr>
            <w:tcW w:w="6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  <w:b/>
                <w:b/>
              </w:rPr>
            </w:pPr>
            <w:r>
              <w:rPr>
                <w:rFonts w:eastAsia="Calibri" w:cs="Calibri" w:ascii="Calibri" w:hAnsi="Calibri"/>
                <w:b/>
              </w:rPr>
              <w:t>CORRESPONDÊNCIA</w:t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1</w:t>
            </w:r>
          </w:p>
        </w:tc>
        <w:tc>
          <w:tcPr>
            <w:tcW w:w="61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120" w:after="240"/>
              <w:ind w:right="-20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até 0,2% ao dia sobre o valor mensal do contrato</w:t>
              <w:tab/>
              <w:tab/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2</w:t>
            </w:r>
          </w:p>
        </w:tc>
        <w:tc>
          <w:tcPr>
            <w:tcW w:w="61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120" w:after="240"/>
              <w:ind w:right="-20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até 0,4% ao dia sobre o valor mensal do contrato</w:t>
              <w:tab/>
              <w:tab/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3</w:t>
            </w:r>
          </w:p>
        </w:tc>
        <w:tc>
          <w:tcPr>
            <w:tcW w:w="61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120" w:after="240"/>
              <w:ind w:right="-20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até 0,8% ao dia sobre o valor mensal do contrato</w:t>
              <w:tab/>
              <w:tab/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4</w:t>
            </w:r>
          </w:p>
        </w:tc>
        <w:tc>
          <w:tcPr>
            <w:tcW w:w="61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120" w:after="240"/>
              <w:ind w:right="-20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até 1,6% ao dia sobre o valor mensal do contrato</w:t>
              <w:tab/>
              <w:tab/>
            </w:r>
          </w:p>
        </w:tc>
      </w:tr>
      <w:tr>
        <w:trPr/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5</w:t>
            </w:r>
          </w:p>
        </w:tc>
        <w:tc>
          <w:tcPr>
            <w:tcW w:w="613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40" w:before="120" w:after="240"/>
              <w:ind w:right="-20" w:hanging="0"/>
              <w:rPr>
                <w:rFonts w:ascii="Calibri" w:hAnsi="Calibri" w:eastAsia="Calibri" w:cs="Calibri"/>
              </w:rPr>
            </w:pPr>
            <w:r>
              <w:rPr>
                <w:rFonts w:eastAsia="Calibri" w:cs="Calibri" w:ascii="Calibri" w:hAnsi="Calibri"/>
              </w:rPr>
              <w:t>até 3,2% ao dia sobre o valor mensal do contrato</w:t>
              <w:tab/>
              <w:tab/>
            </w:r>
          </w:p>
        </w:tc>
      </w:tr>
    </w:tbl>
    <w:p>
      <w:pPr>
        <w:pStyle w:val="Normal1"/>
        <w:spacing w:lineRule="auto" w:line="240" w:before="0" w:after="120"/>
        <w:ind w:left="142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p>
      <w:pPr>
        <w:pStyle w:val="Normal1"/>
        <w:spacing w:lineRule="auto" w:line="240" w:before="0" w:after="120"/>
        <w:ind w:left="142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  <w:t>Tabela 2</w:t>
      </w:r>
    </w:p>
    <w:p>
      <w:pPr>
        <w:pStyle w:val="Normal1"/>
        <w:spacing w:lineRule="auto" w:line="240" w:before="0" w:after="120"/>
        <w:ind w:left="142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tbl>
      <w:tblPr>
        <w:tblStyle w:val="Table4"/>
        <w:tblW w:w="8835" w:type="dxa"/>
        <w:jc w:val="left"/>
        <w:tblInd w:w="0" w:type="dxa"/>
        <w:tblCellMar>
          <w:top w:w="40" w:type="dxa"/>
          <w:left w:w="40" w:type="dxa"/>
          <w:bottom w:w="40" w:type="dxa"/>
          <w:right w:w="40" w:type="dxa"/>
        </w:tblCellMar>
        <w:tblLook w:val="0600"/>
      </w:tblPr>
      <w:tblGrid>
        <w:gridCol w:w="764"/>
        <w:gridCol w:w="6554"/>
        <w:gridCol w:w="1517"/>
      </w:tblGrid>
      <w:tr>
        <w:trPr>
          <w:trHeight w:val="315" w:hRule="atLeast"/>
        </w:trPr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ITEM</w:t>
            </w:r>
          </w:p>
        </w:tc>
        <w:tc>
          <w:tcPr>
            <w:tcW w:w="655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DESCRIÇÃO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GRAU</w:t>
            </w:r>
          </w:p>
        </w:tc>
      </w:tr>
      <w:tr>
        <w:trPr>
          <w:trHeight w:val="765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Permitir situação que crie a possibilidade de causar dano físico, lesão corporal ou conseqüências letais, por ocorrência;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5</w:t>
            </w:r>
          </w:p>
        </w:tc>
      </w:tr>
      <w:tr>
        <w:trPr>
          <w:trHeight w:val="750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4</w:t>
            </w:r>
          </w:p>
        </w:tc>
      </w:tr>
      <w:tr>
        <w:trPr>
          <w:trHeight w:val="705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Manter funcionário sem qualificação para executar os serviços contratados, por empregado e por dia;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</w:t>
            </w:r>
          </w:p>
        </w:tc>
      </w:tr>
      <w:tr>
        <w:trPr>
          <w:trHeight w:val="705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4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Recusar-se a executar serviço determinado pela fiscalização, por serviço e por dia;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8835" w:type="dxa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Para os itens a seguir, deixar de:</w:t>
            </w:r>
          </w:p>
        </w:tc>
      </w:tr>
      <w:tr>
        <w:trPr>
          <w:trHeight w:val="630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7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Cumprir determinação formal ou instrução complementar do órgão fiscalizador, por ocorrência;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</w:t>
            </w:r>
          </w:p>
        </w:tc>
      </w:tr>
      <w:tr>
        <w:trPr>
          <w:trHeight w:val="615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8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Substituir empregado que se conduza de modo inconveniente ou não atenda às necessidades do serviço, por funcionário e por dia;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</w:tr>
      <w:tr>
        <w:trPr>
          <w:trHeight w:val="870" w:hRule="atLeast"/>
        </w:trPr>
        <w:tc>
          <w:tcPr>
            <w:tcW w:w="76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9</w:t>
            </w:r>
          </w:p>
        </w:tc>
        <w:tc>
          <w:tcPr>
            <w:tcW w:w="6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Cumprir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spacing w:lineRule="auto" w:line="276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</w:t>
            </w:r>
          </w:p>
        </w:tc>
      </w:tr>
    </w:tbl>
    <w:p>
      <w:pPr>
        <w:pStyle w:val="Normal1"/>
        <w:spacing w:lineRule="auto" w:line="240" w:before="0" w:after="120"/>
        <w:ind w:left="142" w:hanging="0"/>
        <w:jc w:val="center"/>
        <w:rPr>
          <w:rFonts w:ascii="Calibri" w:hAnsi="Calibri" w:eastAsia="Calibri" w:cs="Calibri"/>
        </w:rPr>
      </w:pPr>
      <w:r>
        <w:rPr>
          <w:rFonts w:eastAsia="Calibri" w:cs="Calibri" w:ascii="Calibri" w:hAnsi="Calibri"/>
        </w:rPr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Também ficam sujeitas às penalidades do art. 87, III e IV da Lei nº 8.666, de 1993, as empresas ou profissionais que:</w:t>
      </w:r>
    </w:p>
    <w:p>
      <w:pPr>
        <w:pStyle w:val="Normal1"/>
        <w:numPr>
          <w:ilvl w:val="2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tenham sofrido condenação definitiva por praticar, por meio dolosos, fraude fiscal no recolhimento de quaisquer tributos;</w:t>
      </w:r>
    </w:p>
    <w:p>
      <w:pPr>
        <w:pStyle w:val="Normal1"/>
        <w:numPr>
          <w:ilvl w:val="2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tenham praticado atos ilícitos visando a frustrar os objetivos da licitação;</w:t>
      </w:r>
    </w:p>
    <w:p>
      <w:pPr>
        <w:pStyle w:val="Normal1"/>
        <w:numPr>
          <w:ilvl w:val="2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 xml:space="preserve">demonstrem não possuir idoneidade para contratar com a Administração em virtude de atos ilícitos praticados. 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As multas devidas e/ou prejuízos causados à Contratante serão deduzidos dos valores a serem pagos, ou recolhidos em favor da União, ou deduzidos da garantia, ou ainda, quando for o caso, serão inscritos na Dívida Ativa da União e cobrados judicialmente.</w:t>
      </w:r>
    </w:p>
    <w:p>
      <w:pPr>
        <w:pStyle w:val="Normal1"/>
        <w:numPr>
          <w:ilvl w:val="2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Caso a Contratante determine, a multa deverá ser recolhida no prazo máximo de 05 (cinco) dias, a contar da data do recebimento da comunicação enviada pela autoridade competente.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Caso o valor da multa não seja suficiente para cobrir os prejuízos causados pela conduta do licitante, a União ou Entidade poderá cobrar o valor remanescente judicialmente, conforme artigo 419 do Código Civil.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 xml:space="preserve">Se, durante o processo de aplicação de penalidade, se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- PAR. 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 xml:space="preserve">O processamento do PAR não interfere no seguimento regular dos processos administrativos específicos para apuração da ocorrência de danos e prejuízos à Administração Pública Federal resultantes de ato lesivo cometido por pessoa jurídica, com ou sem a participação de agente público. </w:t>
      </w:r>
    </w:p>
    <w:p>
      <w:pPr>
        <w:pStyle w:val="Normal1"/>
        <w:numPr>
          <w:ilvl w:val="1"/>
          <w:numId w:val="1"/>
        </w:numPr>
        <w:spacing w:lineRule="auto" w:line="240" w:before="0" w:after="120"/>
        <w:ind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Calibri" w:cs="Calibri" w:ascii="Calibri" w:hAnsi="Calibri"/>
        </w:rPr>
        <w:t>As penalidades serão obrigatoriamente registradas no SICAF.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SEGUNDA – RESCISÃO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O presente Termo de Contrato poderá ser rescindido: </w:t>
      </w:r>
    </w:p>
    <w:p>
      <w:pPr>
        <w:pStyle w:val="Normal1"/>
        <w:numPr>
          <w:ilvl w:val="2"/>
          <w:numId w:val="1"/>
        </w:numPr>
        <w:spacing w:lineRule="auto" w:line="276" w:before="120" w:after="120"/>
        <w:ind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>
      <w:pPr>
        <w:pStyle w:val="Normal1"/>
        <w:numPr>
          <w:ilvl w:val="2"/>
          <w:numId w:val="1"/>
        </w:numPr>
        <w:spacing w:lineRule="auto" w:line="276" w:before="120" w:after="120"/>
        <w:ind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amigavelmente, nos termos do art. 79, inciso II, da Lei nº 8.666, de 1993.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Os casos de rescisão contratual serão formalmente motivados, assegurando-se à CONTRATADA o direito à prévia e ampla defesa.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 CONTRATADA reconhece os direitos da CONTRATANTE em caso de rescisão administrativa prevista no art. 77 da Lei nº 8.666, de 1993.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O termo de rescisão será precedido de Relatório indicativo dos seguintes aspectos, conforme o caso:</w:t>
      </w:r>
    </w:p>
    <w:p>
      <w:pPr>
        <w:pStyle w:val="Normal1"/>
        <w:numPr>
          <w:ilvl w:val="2"/>
          <w:numId w:val="1"/>
        </w:numPr>
        <w:spacing w:lineRule="auto" w:line="276" w:before="120" w:after="120"/>
        <w:ind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Balanço dos eventos contratuais já cumpridos ou parcialmente cumpridos;</w:t>
      </w:r>
    </w:p>
    <w:p>
      <w:pPr>
        <w:pStyle w:val="Normal1"/>
        <w:numPr>
          <w:ilvl w:val="2"/>
          <w:numId w:val="1"/>
        </w:numPr>
        <w:spacing w:lineRule="auto" w:line="276" w:before="120" w:after="120"/>
        <w:ind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Relação dos pagamentos já efetuados e ainda devidos;</w:t>
      </w:r>
    </w:p>
    <w:p>
      <w:pPr>
        <w:pStyle w:val="Normal1"/>
        <w:numPr>
          <w:ilvl w:val="2"/>
          <w:numId w:val="1"/>
        </w:numPr>
        <w:spacing w:lineRule="auto" w:line="276" w:before="120" w:after="120"/>
        <w:ind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Indenizações e multas.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CLÁUSULA DÉCIMA TERCEIRA – VEDAÇÕES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yellow"/>
          <w:u w:val="none"/>
          <w:vertAlign w:val="baseline"/>
        </w:rPr>
        <w:t>E PERMISSÕES</w:t>
      </w:r>
    </w:p>
    <w:p>
      <w:pPr>
        <w:pStyle w:val="Normal1"/>
        <w:keepNext w:val="true"/>
        <w:keepLines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É vedado à CONTRATADA interromper a execução dos serviços sob alegação de inadimplemento por parte da CONTRATANTE, salvo nos casos previstos em lei.</w:t>
      </w:r>
    </w:p>
    <w:p>
      <w:pPr>
        <w:pStyle w:val="Normal1"/>
        <w:keepNext w:val="true"/>
        <w:keepLines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142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yellow"/>
          <w:u w:val="none"/>
          <w:vertAlign w:val="baseline"/>
        </w:rPr>
        <w:t>É permitido à CONTRATADA caucionar ou utilizar este Termo de Contrato para qualquer operação financeira, nos termos e de acordo com os procedimentos previstos na Instrução Normativa SEGES/ME nº 53, de 8 de Julho de 2020.</w:t>
      </w:r>
    </w:p>
    <w:p>
      <w:pPr>
        <w:pStyle w:val="Normal1"/>
        <w:keepNext w:val="false"/>
        <w:keepLines w:val="false"/>
        <w:pageBreakBefore w:val="false"/>
        <w:widowControl/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hd w:val="clear" w:fill="FFFFCC"/>
        <w:spacing w:lineRule="auto" w:line="240" w:before="120" w:after="0"/>
        <w:ind w:left="0" w:right="0" w:hanging="0"/>
        <w:jc w:val="both"/>
        <w:rPr>
          <w:rFonts w:ascii="Arial" w:hAnsi="Arial" w:eastAsia="Arial" w:cs="Arial"/>
          <w:b w:val="false"/>
          <w:b w:val="false"/>
          <w:i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bookmarkStart w:id="2" w:name="_heading=h.1fob9te"/>
      <w:bookmarkEnd w:id="2"/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Nota Explicativa: 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Conforme o Parecer JL-01, aprovado pelo Sr. Presidente da República, a cessão de crédito decorrente de contrato administrativo é admissível, desde que não haja vedação no edital ou no contrato. Indo além nesse ponto, a Instrução Normativa SEGES/ME nº 53, de 8 de julho de 2020 previu expressamente obrigatoriedade de permissão nos editais e contratos da cessão de crédito ao dispor, no seu art. 15, que “Os editais e respectivos contratos administrativos celebrados devem prever expressamente a possibilidade de cessão dos créditos decorrentes da contratação de que trata esta Instrução Normativa”. Registre-se a Instrução Normativa em questão entra em vigor em 17 de agosto de 2020. Antes dessa data, a cessão de crédito remanesce possível nos termos do Parecer JL-01, de 2020.</w:t>
      </w:r>
    </w:p>
    <w:p>
      <w:pPr>
        <w:pStyle w:val="Normal1"/>
        <w:keepNext w:val="true"/>
        <w:keepLines/>
        <w:pageBreakBefore w:val="false"/>
        <w:widowControl/>
        <w:numPr>
          <w:ilvl w:val="2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567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yellow"/>
          <w:u w:val="none"/>
          <w:vertAlign w:val="baseline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>
      <w:pPr>
        <w:pStyle w:val="Normal1"/>
        <w:keepNext w:val="true"/>
        <w:keepLines/>
        <w:pageBreakBefore w:val="false"/>
        <w:widowControl/>
        <w:numPr>
          <w:ilvl w:val="2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567" w:right="0" w:hanging="0"/>
        <w:jc w:val="both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highlight w:val="yellow"/>
          <w:u w:val="none"/>
          <w:vertAlign w:val="baseline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>
      <w:pPr>
        <w:pStyle w:val="Normal1"/>
        <w:keepNext w:val="false"/>
        <w:keepLines w:val="false"/>
        <w:pageBreakBefore w:val="false"/>
        <w:widowControl/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hd w:val="clear" w:fill="FFFFCC"/>
        <w:spacing w:lineRule="auto" w:line="240" w:before="120" w:after="0"/>
        <w:ind w:left="0" w:right="0" w:hanging="0"/>
        <w:jc w:val="both"/>
        <w:rPr>
          <w:rFonts w:ascii="Arial" w:hAnsi="Arial" w:eastAsia="Arial" w:cs="Arial"/>
          <w:b w:val="false"/>
          <w:b w:val="false"/>
          <w:i/>
          <w:i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Nota Explicativa:</w:t>
      </w:r>
      <w:r>
        <w:rPr>
          <w:rFonts w:eastAsia="Arial" w:cs="Arial" w:ascii="Arial" w:hAnsi="Arial"/>
          <w:b w:val="false"/>
          <w:i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Os condicionamentos dos dois subitens acima decorrem das conclusões do Parecer JL-01, de 18 de maio de 2020. Referido parecer foi aprovado pelo Sr. Presidente da República em 26/05/2020 e publicado no Diário Oficial da União em 27/05/2020, de modo que vinculante para toda a administração pública, nos termos do arts. 40, §1º e 41 da Lei Complementar nº 73, de 1993.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QUARTA – ALTERAÇÕES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Eventuais alterações contratuais reger-se-ão pela disciplina do art. 65 da Lei nº 8.666, de 1993.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 xml:space="preserve">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QUINTA - DOS CASOS OMISSOS.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SEXTA – PUBLICAÇÃO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>
      <w:pPr>
        <w:pStyle w:val="Normal1"/>
        <w:keepNext w:val="true"/>
        <w:keepLines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567" w:leader="none"/>
        </w:tabs>
        <w:spacing w:lineRule="auto" w:line="240" w:before="240" w:after="0"/>
        <w:ind w:left="0" w:right="0" w:hanging="0"/>
        <w:jc w:val="both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0"/>
          <w:szCs w:val="20"/>
          <w:u w:val="none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</w:rPr>
        <w:t>CLÁUSULA DÉCIMA SÉTIMA – FORO</w:t>
      </w:r>
    </w:p>
    <w:p>
      <w:pPr>
        <w:pStyle w:val="Normal1"/>
        <w:numPr>
          <w:ilvl w:val="1"/>
          <w:numId w:val="1"/>
        </w:numPr>
        <w:spacing w:lineRule="auto" w:line="276" w:before="120" w:after="120"/>
        <w:ind w:left="42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É eleito o Foro da ...... para dirimir os litígios que decorrerem da execução deste Termo de Contrato que não possam ser compostos pela conciliação, conforme art. 55, §2º da Lei nº 8.666/93. </w:t>
      </w:r>
    </w:p>
    <w:p>
      <w:pPr>
        <w:pStyle w:val="Normal1"/>
        <w:spacing w:lineRule="auto" w:line="276" w:before="12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>
      <w:pPr>
        <w:pStyle w:val="Normal1"/>
        <w:spacing w:lineRule="auto" w:line="360" w:before="0" w:after="120"/>
        <w:ind w:right="-15" w:hanging="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...........................................,  .......... de.......................................... de 20.....</w:t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2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_________________________</w:t>
      </w:r>
    </w:p>
    <w:p>
      <w:pPr>
        <w:pStyle w:val="Normal1"/>
        <w:spacing w:lineRule="auto" w:line="240" w:before="0" w:after="12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Responsável legal da CONTRATANTE</w:t>
      </w:r>
    </w:p>
    <w:p>
      <w:pPr>
        <w:pStyle w:val="Normal1"/>
        <w:spacing w:lineRule="auto" w:line="240" w:before="0" w:after="12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_________________________</w:t>
      </w:r>
    </w:p>
    <w:p>
      <w:pPr>
        <w:pStyle w:val="Normal1"/>
        <w:spacing w:lineRule="auto" w:line="240" w:before="0" w:after="120"/>
        <w:jc w:val="center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Responsável legal da CONTRATADA</w:t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TESTEMUNHAS:</w:t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1-</w:t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  <w:t>2-</w:t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spacing w:lineRule="auto" w:line="240" w:before="0" w:after="120"/>
        <w:jc w:val="both"/>
        <w:rPr>
          <w:rFonts w:ascii="Arial" w:hAnsi="Arial" w:eastAsia="Arial" w:cs="Arial"/>
          <w:sz w:val="20"/>
          <w:szCs w:val="20"/>
        </w:rPr>
      </w:pPr>
      <w:r>
        <w:rPr>
          <w:rFonts w:eastAsia="Arial" w:cs="Arial" w:ascii="Arial" w:hAnsi="Arial"/>
          <w:sz w:val="20"/>
          <w:szCs w:val="20"/>
        </w:rPr>
      </w:r>
    </w:p>
    <w:p>
      <w:pPr>
        <w:pStyle w:val="Normal1"/>
        <w:rPr/>
      </w:pPr>
      <w:r>
        <w:rPr/>
      </w:r>
    </w:p>
    <w:sectPr>
      <w:footerReference w:type="default" r:id="rId2"/>
      <w:type w:val="nextPage"/>
      <w:pgSz w:w="11906" w:h="16838"/>
      <w:pgMar w:left="1701" w:right="1134" w:header="0" w:top="1418" w:footer="709" w:bottom="1418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  <w:t>____________________________________________________________________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12"/>
        <w:szCs w:val="12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2"/>
        <w:sz w:val="12"/>
        <w:szCs w:val="12"/>
        <w:u w:val="none"/>
        <w:shd w:fill="auto" w:val="clear"/>
        <w:vertAlign w:val="baseline"/>
      </w:rPr>
      <w:t>Câmara Nacional de Modelos de Licitações e Contratos da Consultoria-Geral da União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12"/>
        <w:szCs w:val="12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2"/>
        <w:sz w:val="12"/>
        <w:szCs w:val="12"/>
        <w:u w:val="none"/>
        <w:shd w:fill="auto" w:val="clear"/>
        <w:vertAlign w:val="baseline"/>
      </w:rPr>
      <w:t>Termo de Contrato – Modelo para Pregão Eletrônico – Compras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Arial" w:hAnsi="Arial" w:eastAsia="Arial" w:cs="Arial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12"/>
        <w:szCs w:val="12"/>
        <w:u w:val="none"/>
        <w:vertAlign w:val="baseline"/>
      </w:rPr>
    </w:pPr>
    <w:r>
      <w:rPr>
        <w:rFonts w:eastAsia="Arial" w:cs="Arial" w:ascii="Arial" w:hAnsi="Arial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2"/>
        <w:sz w:val="12"/>
        <w:szCs w:val="12"/>
        <w:u w:val="none"/>
        <w:shd w:fill="auto" w:val="clear"/>
        <w:vertAlign w:val="baseline"/>
      </w:rPr>
      <w:t>Atualização: Julho/2020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z w:val="20"/>
        <w:i w:val="false"/>
        <w:b/>
        <w:rFonts w:ascii="Arial" w:hAnsi="Arial"/>
      </w:rPr>
    </w:lvl>
    <w:lvl w:ilvl="1">
      <w:start w:val="1"/>
      <w:numFmt w:val="decimal"/>
      <w:lvlText w:val="%1.%2."/>
      <w:lvlJc w:val="left"/>
      <w:pPr>
        <w:ind w:left="142" w:hanging="0"/>
      </w:pPr>
      <w:rPr>
        <w:sz w:val="20"/>
        <w:i w:val="false"/>
        <w:b w:val="false"/>
        <w:rFonts w:ascii="Arial" w:hAnsi="Arial"/>
        <w:color w:val="000000"/>
      </w:rPr>
    </w:lvl>
    <w:lvl w:ilvl="2">
      <w:start w:val="1"/>
      <w:numFmt w:val="decimal"/>
      <w:lvlText w:val="%1.%2.%3."/>
      <w:lvlJc w:val="left"/>
      <w:pPr>
        <w:ind w:left="567" w:hanging="0"/>
      </w:pPr>
      <w:rPr>
        <w:sz w:val="20"/>
        <w:i w:val="false"/>
        <w:b w:val="false"/>
        <w:rFonts w:ascii="Arial" w:hAnsi="Arial"/>
      </w:rPr>
    </w:lvl>
    <w:lvl w:ilvl="3">
      <w:start w:val="1"/>
      <w:numFmt w:val="decimal"/>
      <w:lvlText w:val="%1.%2.%3.%4."/>
      <w:lvlJc w:val="left"/>
      <w:pPr>
        <w:ind w:left="851" w:hanging="0"/>
      </w:pPr>
      <w:rPr>
        <w:sz w:val="20"/>
        <w:i w:val="false"/>
        <w:b w:val="false"/>
        <w:rFonts w:ascii="Arial" w:hAnsi="Arial"/>
      </w:rPr>
    </w:lvl>
    <w:lvl w:ilvl="4">
      <w:start w:val="1"/>
      <w:numFmt w:val="decimal"/>
      <w:lvlText w:val="%1.%2.%3.%4.%5."/>
      <w:lvlJc w:val="left"/>
      <w:pPr>
        <w:ind w:left="1134" w:hanging="0"/>
      </w:pPr>
      <w:rPr>
        <w:i w:val="false"/>
        <w:b/>
      </w:r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Ecofont_Spranq_eco_Sans" w:hAnsi="Ecofont_Spranq_eco_Sans" w:eastAsia="Ecofont_Spranq_eco_Sans" w:cs="Ecofont_Spranq_eco_Sans"/>
        <w:szCs w:val="24"/>
        <w:lang w:val="pt-BR" w:eastAsia="zh-CN" w:bidi="hi-IN"/>
      </w:rPr>
    </w:rPrDefault>
    <w:pPrDefault>
      <w:pPr/>
    </w:pPrDefault>
  </w:docDefaults>
  <w:style w:type="paragraph" w:styleId="Normal" w:default="1">
    <w:name w:val="Normal"/>
    <w:qFormat/>
    <w:rsid w:val="001a3a05"/>
    <w:pPr>
      <w:widowControl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1"/>
    <w:next w:val="Normal1"/>
    <w:link w:val="Ttulo1Char"/>
    <w:qFormat/>
    <w:rsid w:val="00ca3107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1"/>
    <w:next w:val="Normal1"/>
    <w:link w:val="Ttulo2Char"/>
    <w:qFormat/>
    <w:rsid w:val="004b460a"/>
    <w:pPr>
      <w:keepNext w:val="true"/>
      <w:tabs>
        <w:tab w:val="clear" w:pos="720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CitaoChar" w:customStyle="1">
    <w:name w:val="Citação Char"/>
    <w:link w:val="Citao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CitaoChar"/>
    <w:link w:val="citao2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abealhoChar" w:customStyle="1">
    <w:name w:val="Cabeçalho Char"/>
    <w:basedOn w:val="DefaultParagraphFont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uiPriority w:val="99"/>
    <w:qFormat/>
    <w:rsid w:val="00d820bd"/>
    <w:rPr>
      <w:rFonts w:ascii="Ecofont_Spranq_eco_Sans" w:hAnsi="Ecofont_Spranq_eco_Sans" w:cs="Tahoma"/>
      <w:sz w:val="24"/>
      <w:szCs w:val="24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087b83"/>
    <w:rPr>
      <w:rFonts w:ascii="Ecofont_Spranq_eco_Sans" w:hAnsi="Ecofont_Spranq_eco_Sans" w:eastAsia="Calibri"/>
      <w:i/>
      <w:iCs/>
      <w:color w:val="000000"/>
      <w:szCs w:val="24"/>
      <w:shd w:fill="FFFFCC" w:val="clear"/>
      <w:lang w:val="x-none" w:eastAsia="en-US"/>
    </w:rPr>
  </w:style>
  <w:style w:type="character" w:styleId="Nivel01TituloChar" w:customStyle="1">
    <w:name w:val="Nivel_01_Titulo Char"/>
    <w:basedOn w:val="CitaoChar"/>
    <w:link w:val="Nivel01Titulo"/>
    <w:qFormat/>
    <w:rsid w:val="00ca3107"/>
    <w:rPr>
      <w:rFonts w:ascii="Ecofont_Spranq_eco_Sans" w:hAnsi="Ecofont_Spranq_eco_Sans" w:eastAsia="" w:cs="" w:cstheme="majorBidi" w:eastAsiaTheme="majorEastAsia"/>
      <w:i w:val="false"/>
      <w:iCs w:val="false"/>
      <w:color w:val="000000"/>
      <w:szCs w:val="28"/>
      <w:shd w:fill="FFFFCC" w:val="clear"/>
      <w:lang w:eastAsia="en-US"/>
    </w:rPr>
  </w:style>
  <w:style w:type="character" w:styleId="Ttulo1Char" w:customStyle="1">
    <w:name w:val="Título 1 Char"/>
    <w:basedOn w:val="DefaultParagraphFont"/>
    <w:link w:val="Ttulo1"/>
    <w:qFormat/>
    <w:rsid w:val="00ca3107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ivel01Char" w:customStyle="1">
    <w:name w:val="Nivel_01 Char"/>
    <w:basedOn w:val="Ttulo1Char"/>
    <w:link w:val="Nivel01"/>
    <w:qFormat/>
    <w:rsid w:val="00ca3107"/>
    <w:rPr>
      <w:rFonts w:ascii="Ecofont_Spranq_eco_Sans" w:hAnsi="Ecofont_Spranq_eco_Sans" w:eastAsia="" w:cs="" w:cstheme="majorBidi" w:eastAsiaTheme="majorEastAsia"/>
      <w:b/>
      <w:bCs/>
      <w:color w:val="365F91" w:themeColor="accent1" w:themeShade="bf"/>
      <w:sz w:val="28"/>
      <w:szCs w:val="2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012a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11012a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11012a"/>
    <w:rPr>
      <w:rFonts w:ascii="Ecofont_Spranq_eco_Sans" w:hAnsi="Ecofont_Spranq_eco_Sans" w:cs="Tahoma"/>
      <w:b/>
      <w:bCs/>
    </w:rPr>
  </w:style>
  <w:style w:type="character" w:styleId="Smbolosdenumerao">
    <w:name w:val="Símbolos de numeração"/>
    <w:qFormat/>
    <w:rPr/>
  </w:style>
  <w:style w:type="character" w:styleId="ListLabel1">
    <w:name w:val="ListLabel 1"/>
    <w:qFormat/>
    <w:rPr>
      <w:rFonts w:ascii="Arial" w:hAnsi="Arial"/>
      <w:b/>
      <w:i w:val="false"/>
      <w:sz w:val="20"/>
    </w:rPr>
  </w:style>
  <w:style w:type="character" w:styleId="ListLabel2">
    <w:name w:val="ListLabel 2"/>
    <w:qFormat/>
    <w:rPr>
      <w:rFonts w:ascii="Arial" w:hAnsi="Arial"/>
      <w:b w:val="false"/>
      <w:i w:val="false"/>
      <w:color w:val="000000"/>
      <w:sz w:val="20"/>
    </w:rPr>
  </w:style>
  <w:style w:type="character" w:styleId="ListLabel3">
    <w:name w:val="ListLabel 3"/>
    <w:qFormat/>
    <w:rPr>
      <w:rFonts w:ascii="Arial" w:hAnsi="Arial"/>
      <w:b w:val="false"/>
      <w:i w:val="false"/>
      <w:sz w:val="20"/>
    </w:rPr>
  </w:style>
  <w:style w:type="character" w:styleId="ListLabel4">
    <w:name w:val="ListLabel 4"/>
    <w:qFormat/>
    <w:rPr>
      <w:rFonts w:ascii="Arial" w:hAnsi="Arial"/>
      <w:b w:val="false"/>
      <w:i w:val="false"/>
      <w:sz w:val="20"/>
    </w:rPr>
  </w:style>
  <w:style w:type="character" w:styleId="ListLabel5">
    <w:name w:val="ListLabel 5"/>
    <w:qFormat/>
    <w:rPr>
      <w:b/>
      <w:i w:val="false"/>
    </w:rPr>
  </w:style>
  <w:style w:type="paragraph" w:styleId="Ttulo">
    <w:name w:val="Título"/>
    <w:basedOn w:val="Normal1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1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1"/>
    <w:qFormat/>
    <w:pPr>
      <w:suppressLineNumbers/>
    </w:pPr>
    <w:rPr>
      <w:rFonts w:cs="Arial"/>
      <w:lang w:val="zxx" w:eastAsia="zxx" w:bidi="zxx"/>
    </w:rPr>
  </w:style>
  <w:style w:type="paragraph" w:styleId="Normal1" w:default="1">
    <w:name w:val="LO-normal"/>
    <w:qFormat/>
    <w:pPr>
      <w:widowControl/>
      <w:bidi w:val="0"/>
      <w:jc w:val="left"/>
    </w:pPr>
    <w:rPr>
      <w:rFonts w:ascii="Ecofont_Spranq_eco_Sans" w:hAnsi="Ecofont_Spranq_eco_Sans" w:eastAsia="Ecofont_Spranq_eco_Sans" w:cs="Ecofont_Spranq_eco_Sans"/>
      <w:color w:val="auto"/>
      <w:kern w:val="0"/>
      <w:sz w:val="24"/>
      <w:szCs w:val="24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istParagraph">
    <w:name w:val="List Paragraph"/>
    <w:basedOn w:val="Normal1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1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1"/>
    <w:link w:val="TextodebaloChar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1"/>
    <w:next w:val="Normal1"/>
    <w:qFormat/>
    <w:rsid w:val="004b460a"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1"/>
    <w:next w:val="Normal1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1"/>
    <w:qFormat/>
    <w:rsid w:val="001a3a05"/>
    <w:pPr>
      <w:spacing w:before="0" w:after="0"/>
      <w:contextualSpacing/>
    </w:pPr>
    <w:rPr/>
  </w:style>
  <w:style w:type="paragraph" w:styleId="Citao2" w:customStyle="1">
    <w:name w:val="citação 2"/>
    <w:basedOn w:val="Quote"/>
    <w:link w:val="citao2Char"/>
    <w:qFormat/>
    <w:rsid w:val="000a23da"/>
    <w:pPr>
      <w:shd w:fill="FFFFCC" w:val="clear"/>
    </w:pPr>
    <w:rPr>
      <w:szCs w:val="20"/>
    </w:rPr>
  </w:style>
  <w:style w:type="paragraph" w:styleId="CabealhoeRodap">
    <w:name w:val="Cabeçalho e Rodapé"/>
    <w:basedOn w:val="Normal1"/>
    <w:qFormat/>
    <w:pPr/>
    <w:rPr/>
  </w:style>
  <w:style w:type="paragraph" w:styleId="Cabealho">
    <w:name w:val="Header"/>
    <w:basedOn w:val="Normal1"/>
    <w:link w:val="CabealhoChar"/>
    <w:unhideWhenUsed/>
    <w:rsid w:val="00d820bd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1"/>
    <w:link w:val="RodapChar"/>
    <w:uiPriority w:val="99"/>
    <w:unhideWhenUsed/>
    <w:rsid w:val="00d820bd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GradeColoridanfase11" w:customStyle="1">
    <w:name w:val="Grade Colorida - Ênfase 11"/>
    <w:basedOn w:val="Normal1"/>
    <w:next w:val="Normal1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paragraph" w:styleId="Nivel01Titulo" w:customStyle="1">
    <w:name w:val="Nivel_01_Titulo"/>
    <w:basedOn w:val="Ttulo1"/>
    <w:next w:val="Normal1"/>
    <w:link w:val="Nivel01TituloChar"/>
    <w:qFormat/>
    <w:rsid w:val="00ca3107"/>
    <w:pPr>
      <w:tabs>
        <w:tab w:val="clear" w:pos="720"/>
        <w:tab w:val="left" w:pos="567" w:leader="none"/>
      </w:tabs>
      <w:spacing w:before="240" w:after="0"/>
    </w:pPr>
    <w:rPr>
      <w:rFonts w:ascii="Ecofont_Spranq_eco_Sans" w:hAnsi="Ecofont_Spranq_eco_Sans"/>
      <w:color w:val="auto"/>
      <w:sz w:val="20"/>
    </w:rPr>
  </w:style>
  <w:style w:type="paragraph" w:styleId="Nivel01" w:customStyle="1">
    <w:name w:val="Nivel_01"/>
    <w:basedOn w:val="Ttulo1"/>
    <w:link w:val="Nivel01Char"/>
    <w:qFormat/>
    <w:rsid w:val="00ca3107"/>
    <w:pPr>
      <w:tabs>
        <w:tab w:val="clear" w:pos="720"/>
        <w:tab w:val="left" w:pos="567" w:leader="none"/>
      </w:tabs>
      <w:spacing w:before="240" w:after="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paragraph" w:styleId="Nivel011" w:customStyle="1">
    <w:name w:val="Nivel 01"/>
    <w:basedOn w:val="Ttulo1"/>
    <w:next w:val="Normal1"/>
    <w:qFormat/>
    <w:rsid w:val="0042617a"/>
    <w:pPr>
      <w:tabs>
        <w:tab w:val="clear" w:pos="720"/>
        <w:tab w:val="left" w:pos="567" w:leader="none"/>
      </w:tabs>
      <w:spacing w:before="240" w:after="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paragraph" w:styleId="Annotationtext">
    <w:name w:val="annotation text"/>
    <w:basedOn w:val="Normal1"/>
    <w:link w:val="TextodecomentrioChar"/>
    <w:uiPriority w:val="99"/>
    <w:unhideWhenUsed/>
    <w:qFormat/>
    <w:rsid w:val="0011012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11012a"/>
    <w:pPr/>
    <w:rPr>
      <w:b/>
      <w:bCs/>
    </w:rPr>
  </w:style>
  <w:style w:type="paragraph" w:styleId="Contedodatabela">
    <w:name w:val="Conteúdo da tabela"/>
    <w:basedOn w:val="Normal1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6PML2bZutwFnWZTEbKkdTL354qA==">AMUW2mXNIAFakxCz304/Z8WqoWqgr2srvG9wZOnTn8bQKsy9/p8Gvd0BAkIlLIqJ1+LOT6HQZGxTBgE0K37gEcGJoT/r03KzWsNpwDnT5QC4WjDPajTTkJn7On932lKLrAQiknr1ke8ZZ258KuCpDyifsbl3nuot1g==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LibreOffice/6.2.8.2$Windows_X86_64 LibreOffice_project/f82ddfca21ebc1e222a662a32b25c0c9d20169ee</Application>
  <Pages>9</Pages>
  <Words>3854</Words>
  <Characters>21683</Characters>
  <CharactersWithSpaces>25372</CharactersWithSpaces>
  <Paragraphs>206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2019-07-22T20:13:00Z</dcterms:created>
  <dc:creator>Adriano</dc:creator>
  <dc:description/>
  <dc:language>pt-BR</dc:language>
  <cp:lastModifiedBy/>
  <cp:revision>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